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行政院　令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中華民國111年3月31日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院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臺法字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第1110009105號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中華民國一百十一年二月十八日修正公布之「</w:t>
      </w:r>
      <w:hyperlink r:id="rId4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保安處分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執行法」部分條文，定自一百十一年三月三十一日施行，並以臺灣地區為施行區域。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院長　蘇貞昌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附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：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總統　令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中華民國111年2月18日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華總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一義字第11100014951號</w:t>
      </w:r>
      <w:proofErr w:type="gramEnd"/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茲增訂保安處分執行法第四十六條之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至第四十六條之三條文；刪除第四十七條條文；並修正第四十六條及第七十一條條文，公布之。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總　　　統　蔡英文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行政院院長　蘇貞昌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法務部部長　蔡清祥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bookmarkStart w:id="0" w:name="_GoBack"/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保安處分執行法</w:t>
      </w:r>
      <w:bookmarkEnd w:id="0"/>
      <w:r>
        <w:rPr>
          <w:rFonts w:ascii="微軟正黑體" w:eastAsia="微軟正黑體" w:hAnsi="微軟正黑體" w:hint="eastAsia"/>
          <w:color w:val="000000"/>
          <w:sz w:val="27"/>
          <w:szCs w:val="27"/>
        </w:rPr>
        <w:t>增訂第四十六條之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至第四十六條之三條文；刪除第四十七條條文；並修正第四十六條及第七十一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條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條文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中華民國111年2月18日公布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第四十六條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因有刑法第十九條第一項、第二項或第二十條之情形，而受</w:t>
      </w:r>
      <w:hyperlink r:id="rId5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監護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處分者，</w:t>
      </w:r>
      <w:hyperlink r:id="rId6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檢察官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應按其情形，指定下列一款或數款方式執行之：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一、令入司法精神醫院、醫院或其他精神醫療機構接受治療。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二、令入精神復健機構、精神護理機構接受精神照護或復健。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三、令入身心障礙福利機構或其他適當處所接受照顧或輔導。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四、交由</w:t>
      </w:r>
      <w:hyperlink r:id="rId7" w:tgtFrame="_blank" w:history="1">
        <w:r>
          <w:rPr>
            <w:rStyle w:val="a3"/>
            <w:rFonts w:ascii="微軟正黑體" w:eastAsia="微軟正黑體" w:hAnsi="微軟正黑體" w:hint="eastAsia"/>
            <w:i/>
            <w:iCs/>
            <w:color w:val="2D5C88"/>
            <w:sz w:val="27"/>
            <w:szCs w:val="27"/>
          </w:rPr>
          <w:t>法定代理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人或最近親屬照顧。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五、接受特定門診治療。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六、其他適當之處遇措施。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檢察官為執行前項規定，得請各級衛生、警政、</w:t>
      </w:r>
      <w:hyperlink r:id="rId8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社會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福利主管機關指定人員協助或辦理協調事項。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第四十六條之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檢察官為執行</w:t>
      </w:r>
      <w:hyperlink r:id="rId9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監護處分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，於指定前條第一項之執行方式前，得參酌評估小組之意見。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檢察官於執行監護處分期間內，認有必要時，得依職權或前條第一項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各款受指定者之請求，變更執行方式。變更時，得參酌評估小組之評估意見。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前二項評估小組之組成、其委員資格、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遴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（解）聘、評估程序及其他相關事項之辦法，由法務部定之。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第四十六條之二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執行監護處分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期間，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檢察官應依刑法第八十七條第四項所定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期間，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將受處分人送請前條第三項所定評估小組評估有無繼續執行之必要。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檢察官為延長或免其處分之執行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聲請時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，得參酌前項之評估意見，並得徵詢第四十六條第一項各款受指定者、最近親屬、醫師、心理師、職能治療師、護理人員、輔導人員、社工人員或其他專業人員之意見。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第四十六條之三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監護處分期間屆滿前三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個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月內，檢察機關應召開轉銜會議，將受監護處分人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轉銜予當地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衛生、警政、社會福利、教育、勞動主管機關，由各該主管機關依權責提供受監護處分人就醫、就業、就學、就養、心理治療、心理諮商及其他社區照顧服務。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當地直轄市或縣（市）政府所屬衛生、警政、社會福利、教育、勞動主管機關應指定人員參與前項會議，如認受監護處分人屬於他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轄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，應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於參與前項會議後，再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轉銜至該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管直轄市或縣（市）政府辦理。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檢察機關召開第一項之會議，應通知更生保護會參與，更生保護會得依更生保護法辦理保護事項。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第四十七條（刪除）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第七十一條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以</w:t>
      </w:r>
      <w:hyperlink r:id="rId10" w:history="1">
        <w:r>
          <w:rPr>
            <w:rStyle w:val="a3"/>
            <w:rFonts w:ascii="微軟正黑體" w:eastAsia="微軟正黑體" w:hAnsi="微軟正黑體" w:hint="eastAsia"/>
            <w:color w:val="4E92DF"/>
            <w:sz w:val="27"/>
            <w:szCs w:val="27"/>
          </w:rPr>
          <w:t>保護管束</w:t>
        </w:r>
      </w:hyperlink>
      <w:r>
        <w:rPr>
          <w:rFonts w:ascii="微軟正黑體" w:eastAsia="微軟正黑體" w:hAnsi="微軟正黑體" w:hint="eastAsia"/>
          <w:color w:val="000000"/>
          <w:sz w:val="27"/>
          <w:szCs w:val="27"/>
        </w:rPr>
        <w:t>代監護者，對於受保護管束人，應促其繼續完成治療、心理輔導或其他適當之處遇措施，並應注意其心身狀態及其行動與療養。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br/>
        <w:t>觀護人對於付保護管束代監護者，得轉</w:t>
      </w:r>
      <w:proofErr w:type="gramStart"/>
      <w:r>
        <w:rPr>
          <w:rFonts w:ascii="微軟正黑體" w:eastAsia="微軟正黑體" w:hAnsi="微軟正黑體" w:hint="eastAsia"/>
          <w:color w:val="000000"/>
          <w:sz w:val="27"/>
          <w:szCs w:val="27"/>
        </w:rPr>
        <w:t>介</w:t>
      </w:r>
      <w:proofErr w:type="gramEnd"/>
      <w:r>
        <w:rPr>
          <w:rFonts w:ascii="微軟正黑體" w:eastAsia="微軟正黑體" w:hAnsi="微軟正黑體" w:hint="eastAsia"/>
          <w:color w:val="000000"/>
          <w:sz w:val="27"/>
          <w:szCs w:val="27"/>
        </w:rPr>
        <w:t>適當團體或機構。</w:t>
      </w:r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hyperlink r:id="rId11" w:tgtFrame="_blank" w:history="1">
        <w:r>
          <w:rPr>
            <w:rStyle w:val="a3"/>
            <w:rFonts w:ascii="微軟正黑體" w:eastAsia="微軟正黑體" w:hAnsi="微軟正黑體" w:hint="eastAsia"/>
            <w:color w:val="2D5C88"/>
            <w:sz w:val="27"/>
            <w:szCs w:val="27"/>
          </w:rPr>
          <w:t>https://gazette.nat.gov.tw/EG_FileManager/eguploadpub/eg028031/ch09/type10/gov80/num40/images/Eg01.pdf</w:t>
        </w:r>
      </w:hyperlink>
    </w:p>
    <w:p w:rsidR="00423CFC" w:rsidRDefault="00423CFC" w:rsidP="00423CFC">
      <w:pPr>
        <w:pStyle w:val="Web"/>
        <w:shd w:val="clear" w:color="auto" w:fill="FFFFFF"/>
        <w:spacing w:before="0" w:beforeAutospacing="0" w:after="240" w:afterAutospacing="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資料來源：行政院</w:t>
      </w:r>
    </w:p>
    <w:p w:rsidR="00105C2E" w:rsidRDefault="00105C2E"/>
    <w:sectPr w:rsidR="00105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FC"/>
    <w:rsid w:val="00105C2E"/>
    <w:rsid w:val="004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5746-3908-4E39-962B-9C38C17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3C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23CFC"/>
    <w:rPr>
      <w:color w:val="0000FF"/>
      <w:u w:val="single"/>
    </w:rPr>
  </w:style>
  <w:style w:type="character" w:customStyle="1" w:styleId="tooltipstered">
    <w:name w:val="tooltipstered"/>
    <w:basedOn w:val="a0"/>
    <w:rsid w:val="0042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tw.com/archives/tag/%e7%a4%be%e6%9c%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6%B3%95%E5%AE%9A%E4%BB%A3%E7%90%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tw.com/archives/tag/%e6%aa%a2%e5%af%9f%e5%ae%98" TargetMode="External"/><Relationship Id="rId11" Type="http://schemas.openxmlformats.org/officeDocument/2006/relationships/hyperlink" Target="https://www.lawtw.com/archives/1078917" TargetMode="External"/><Relationship Id="rId5" Type="http://schemas.openxmlformats.org/officeDocument/2006/relationships/hyperlink" Target="https://www.lawtw.com/archives/tag/%e7%9b%a3%e8%ad%b7" TargetMode="External"/><Relationship Id="rId10" Type="http://schemas.openxmlformats.org/officeDocument/2006/relationships/hyperlink" Target="https://www.lawtw.com/archives/tag/%e4%bf%9d%e8%ad%b7%e7%ae%a1%e6%9d%9f" TargetMode="External"/><Relationship Id="rId4" Type="http://schemas.openxmlformats.org/officeDocument/2006/relationships/hyperlink" Target="https://www.lawtw.com/archives/tag/%e4%bf%9d%e5%ae%89%e8%99%95%e5%88%86" TargetMode="External"/><Relationship Id="rId9" Type="http://schemas.openxmlformats.org/officeDocument/2006/relationships/hyperlink" Target="https://www.lawtw.com/archives/tag/%e7%9b%a3%e8%ad%b7%e8%99%95%e5%88%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2022-04-13T05:00:00Z</dcterms:created>
  <dcterms:modified xsi:type="dcterms:W3CDTF">2022-04-13T05:01:00Z</dcterms:modified>
</cp:coreProperties>
</file>